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24AAE">
      <w:pPr>
        <w:spacing w:after="0"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关于报名参加20</w:t>
      </w:r>
      <w:r>
        <w:rPr>
          <w:rFonts w:hint="eastAsia" w:ascii="仿宋" w:hAnsi="仿宋" w:eastAsia="仿宋" w:cs="仿宋"/>
          <w:b/>
          <w:bCs/>
          <w:color w:val="auto"/>
          <w:sz w:val="36"/>
          <w:szCs w:val="36"/>
          <w:lang w:val="en-US" w:eastAsia="zh-CN"/>
        </w:rPr>
        <w:t>25</w:t>
      </w:r>
      <w:r>
        <w:rPr>
          <w:rFonts w:hint="eastAsia" w:ascii="仿宋" w:hAnsi="仿宋" w:eastAsia="仿宋" w:cs="仿宋"/>
          <w:b/>
          <w:bCs/>
          <w:color w:val="auto"/>
          <w:sz w:val="36"/>
          <w:szCs w:val="36"/>
          <w:lang w:eastAsia="zh-CN"/>
        </w:rPr>
        <w:t>年</w:t>
      </w:r>
      <w:r>
        <w:rPr>
          <w:rFonts w:hint="eastAsia" w:ascii="仿宋" w:hAnsi="仿宋" w:eastAsia="仿宋" w:cs="仿宋"/>
          <w:b/>
          <w:bCs/>
          <w:color w:val="auto"/>
          <w:sz w:val="36"/>
          <w:szCs w:val="36"/>
          <w:lang w:val="en-US" w:eastAsia="zh-CN"/>
        </w:rPr>
        <w:t>寒假</w:t>
      </w:r>
      <w:r>
        <w:rPr>
          <w:rFonts w:hint="eastAsia" w:ascii="仿宋" w:hAnsi="仿宋" w:eastAsia="仿宋" w:cs="仿宋"/>
          <w:b/>
          <w:bCs/>
          <w:color w:val="auto"/>
          <w:sz w:val="36"/>
          <w:szCs w:val="36"/>
          <w:lang w:eastAsia="zh-CN"/>
        </w:rPr>
        <w:t>德国埃尔朗根</w:t>
      </w:r>
      <w:r>
        <w:rPr>
          <w:rFonts w:hint="eastAsia" w:ascii="仿宋" w:hAnsi="仿宋" w:eastAsia="仿宋" w:cs="仿宋"/>
          <w:b/>
          <w:bCs/>
          <w:color w:val="auto"/>
          <w:sz w:val="36"/>
          <w:szCs w:val="36"/>
          <w:lang w:val="en-US" w:eastAsia="zh-CN"/>
        </w:rPr>
        <w:t>-</w:t>
      </w:r>
      <w:r>
        <w:rPr>
          <w:rFonts w:hint="eastAsia" w:ascii="仿宋" w:hAnsi="仿宋" w:eastAsia="仿宋" w:cs="仿宋"/>
          <w:b/>
          <w:bCs/>
          <w:color w:val="auto"/>
          <w:sz w:val="36"/>
          <w:szCs w:val="36"/>
          <w:lang w:eastAsia="zh-CN"/>
        </w:rPr>
        <w:t>纽伦堡大学</w:t>
      </w:r>
    </w:p>
    <w:p w14:paraId="6D9F493B">
      <w:pPr>
        <w:spacing w:after="0" w:line="360" w:lineRule="auto"/>
        <w:jc w:val="center"/>
        <w:rPr>
          <w:rFonts w:ascii="仿宋" w:hAnsi="仿宋" w:eastAsia="仿宋" w:cs="仿宋"/>
          <w:b/>
          <w:bCs/>
          <w:color w:val="auto"/>
          <w:sz w:val="32"/>
          <w:szCs w:val="32"/>
          <w:highlight w:val="none"/>
          <w:lang w:eastAsia="zh-CN"/>
        </w:rPr>
      </w:pPr>
      <w:r>
        <w:rPr>
          <w:rFonts w:hint="eastAsia" w:ascii="仿宋" w:hAnsi="仿宋" w:eastAsia="仿宋" w:cs="仿宋"/>
          <w:b/>
          <w:bCs/>
          <w:color w:val="auto"/>
          <w:sz w:val="36"/>
          <w:szCs w:val="36"/>
          <w:highlight w:val="none"/>
          <w:lang w:eastAsia="zh-CN"/>
        </w:rPr>
        <w:t>临床医学</w:t>
      </w:r>
      <w:r>
        <w:rPr>
          <w:rFonts w:hint="eastAsia" w:ascii="仿宋" w:hAnsi="仿宋" w:eastAsia="仿宋" w:cs="仿宋"/>
          <w:b/>
          <w:bCs/>
          <w:color w:val="auto"/>
          <w:sz w:val="36"/>
          <w:szCs w:val="36"/>
          <w:highlight w:val="none"/>
          <w:lang w:val="en-US" w:eastAsia="zh-CN"/>
        </w:rPr>
        <w:t>两周</w:t>
      </w:r>
      <w:r>
        <w:rPr>
          <w:rFonts w:hint="eastAsia" w:ascii="仿宋" w:hAnsi="仿宋" w:eastAsia="仿宋" w:cs="仿宋"/>
          <w:b/>
          <w:bCs/>
          <w:color w:val="auto"/>
          <w:sz w:val="36"/>
          <w:szCs w:val="36"/>
          <w:highlight w:val="none"/>
          <w:lang w:eastAsia="zh-CN"/>
        </w:rPr>
        <w:t>访学项目的通知</w:t>
      </w:r>
    </w:p>
    <w:p w14:paraId="4B010998">
      <w:pPr>
        <w:pStyle w:val="2"/>
        <w:spacing w:line="360" w:lineRule="auto"/>
        <w:ind w:left="440" w:firstLine="440"/>
        <w:jc w:val="both"/>
        <w:rPr>
          <w:rFonts w:ascii="仿宋" w:hAnsi="仿宋" w:eastAsia="仿宋"/>
          <w:color w:val="auto"/>
          <w:highlight w:val="none"/>
          <w:lang w:eastAsia="zh-CN"/>
        </w:rPr>
      </w:pPr>
    </w:p>
    <w:p w14:paraId="0449C3DA">
      <w:pPr>
        <w:spacing w:line="360" w:lineRule="auto"/>
        <w:ind w:firstLine="480" w:firstLineChars="200"/>
        <w:jc w:val="both"/>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为开拓学生国际视野，增强学生对临床医学领域国际前沿知识和研究成果的理解和吸收，认识职业发展前景和培养医生素养，现向我校学生推荐德国埃尔朗根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纽伦堡大学</w:t>
      </w:r>
      <w:r>
        <w:rPr>
          <w:rFonts w:hint="eastAsia" w:ascii="仿宋" w:hAnsi="仿宋" w:eastAsia="仿宋" w:cs="仿宋"/>
          <w:color w:val="auto"/>
          <w:sz w:val="24"/>
          <w:szCs w:val="24"/>
          <w:highlight w:val="none"/>
          <w:lang w:val="en-US" w:eastAsia="zh-CN"/>
        </w:rPr>
        <w:t>寒假</w:t>
      </w:r>
      <w:r>
        <w:rPr>
          <w:rFonts w:hint="eastAsia" w:ascii="仿宋" w:hAnsi="仿宋" w:eastAsia="仿宋" w:cs="仿宋"/>
          <w:color w:val="auto"/>
          <w:sz w:val="24"/>
          <w:szCs w:val="24"/>
          <w:highlight w:val="none"/>
          <w:lang w:eastAsia="zh-CN"/>
        </w:rPr>
        <w:t>临床医学</w:t>
      </w:r>
      <w:r>
        <w:rPr>
          <w:rFonts w:hint="eastAsia" w:ascii="仿宋" w:hAnsi="仿宋" w:eastAsia="仿宋" w:cs="仿宋"/>
          <w:color w:val="auto"/>
          <w:sz w:val="24"/>
          <w:szCs w:val="24"/>
          <w:highlight w:val="none"/>
          <w:lang w:val="en-US" w:eastAsia="zh-CN"/>
        </w:rPr>
        <w:t>两周</w:t>
      </w:r>
      <w:r>
        <w:rPr>
          <w:rFonts w:hint="eastAsia" w:ascii="仿宋" w:hAnsi="仿宋" w:eastAsia="仿宋" w:cs="仿宋"/>
          <w:color w:val="auto"/>
          <w:sz w:val="24"/>
          <w:szCs w:val="24"/>
          <w:highlight w:val="none"/>
          <w:lang w:eastAsia="zh-CN"/>
        </w:rPr>
        <w:t>访学项目。</w:t>
      </w:r>
    </w:p>
    <w:p w14:paraId="4FEF118E">
      <w:pPr>
        <w:spacing w:line="360" w:lineRule="auto"/>
        <w:jc w:val="both"/>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一、授课单位介绍</w:t>
      </w:r>
    </w:p>
    <w:p w14:paraId="1591580C">
      <w:pPr>
        <w:spacing w:line="360" w:lineRule="auto"/>
        <w:ind w:firstLine="480" w:firstLineChars="20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德国埃尔朗根</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纽伦堡大学1743年建校，在2019年《路透社》发布的全球最具创新力大学排名中位列世界第14位，德国第1位。迄今培育一位德国联邦总理，四位诺贝尔奖得主。其下属的医学院列为德国十佳医院之一，其中如心脏外科、心脏内科等16个科系的疾病治疗水平被评价为全德最佳。1966年首例肾脏器官移植在此取得成功；1982年4月16日德国第一例试管婴儿于埃尔朗根</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纽伦堡大学医学院诞生；2004年世界首例MEG脑磁图癫痫手术获得成功；2008年诺贝尔生理学或医学奖授予该校病毒学教授哈拉尔德·楚尔·豪森，表彰其发现导致宫颈癌的人乳头状瘤病毒的研究。</w:t>
      </w:r>
    </w:p>
    <w:p w14:paraId="6D4DA0CA">
      <w:pPr>
        <w:spacing w:line="360" w:lineRule="auto"/>
        <w:ind w:firstLine="480" w:firstLineChars="200"/>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本项目是由德国埃尔朗根</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纽伦堡大学主办，法兰克福大学协办开设的寒假临床医学访学课程。上课地点分别位于德国的两大国际都市：纽伦堡和法兰克福。项目内容包括医院观摩学习、医生和德国大学老师授课、现场交流等。</w:t>
      </w:r>
    </w:p>
    <w:p w14:paraId="77B36352">
      <w:pPr>
        <w:spacing w:line="360" w:lineRule="auto"/>
        <w:jc w:val="both"/>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二、项目介绍</w:t>
      </w:r>
    </w:p>
    <w:p w14:paraId="096E813F">
      <w:pPr>
        <w:spacing w:line="360" w:lineRule="auto"/>
        <w:jc w:val="both"/>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日期：</w:t>
      </w:r>
      <w:r>
        <w:rPr>
          <w:rFonts w:hint="eastAsia" w:ascii="仿宋" w:hAnsi="仿宋" w:eastAsia="仿宋" w:cs="仿宋"/>
          <w:color w:val="auto"/>
          <w:sz w:val="24"/>
          <w:szCs w:val="24"/>
          <w:highlight w:val="none"/>
          <w:lang w:eastAsia="zh-CN"/>
        </w:rPr>
        <w:t>2025年1月1</w:t>
      </w: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日—1月</w:t>
      </w: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日（</w:t>
      </w:r>
      <w:r>
        <w:rPr>
          <w:rFonts w:hint="default"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lang w:eastAsia="zh-CN"/>
        </w:rPr>
        <w:t>）</w:t>
      </w:r>
    </w:p>
    <w:p w14:paraId="417F84FD">
      <w:pPr>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*出发、返回时间可能依据航班而定。</w:t>
      </w:r>
    </w:p>
    <w:p w14:paraId="48B80456">
      <w:pPr>
        <w:spacing w:line="360" w:lineRule="auto"/>
        <w:jc w:val="both"/>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项目信息：</w:t>
      </w:r>
    </w:p>
    <w:p w14:paraId="70034AF5">
      <w:pPr>
        <w:numPr>
          <w:ilvl w:val="0"/>
          <w:numId w:val="1"/>
        </w:numPr>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沉浸式体验德国两所知名高校</w:t>
      </w:r>
      <w:r>
        <w:rPr>
          <w:rFonts w:hint="eastAsia" w:ascii="仿宋" w:hAnsi="仿宋" w:eastAsia="仿宋" w:cs="仿宋"/>
          <w:color w:val="auto"/>
          <w:sz w:val="24"/>
          <w:szCs w:val="24"/>
          <w:lang w:val="en-US" w:eastAsia="zh-CN"/>
        </w:rPr>
        <w:t>以及其</w:t>
      </w:r>
      <w:r>
        <w:rPr>
          <w:rFonts w:hint="eastAsia" w:ascii="仿宋" w:hAnsi="仿宋" w:eastAsia="仿宋" w:cs="仿宋"/>
          <w:color w:val="auto"/>
          <w:sz w:val="24"/>
          <w:szCs w:val="24"/>
          <w:lang w:eastAsia="zh-CN"/>
        </w:rPr>
        <w:t>附属医院、周边相关医疗机构的相关课程；</w:t>
      </w:r>
    </w:p>
    <w:p w14:paraId="3EBCBBAF">
      <w:pPr>
        <w:numPr>
          <w:ilvl w:val="0"/>
          <w:numId w:val="1"/>
        </w:numPr>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课程涵盖德国医学介绍课，临床医学专业课和实地考察观摩课，由经验丰富的德国大学附属医院医生和德国大学老师授课；</w:t>
      </w:r>
    </w:p>
    <w:p w14:paraId="1AC34BC6">
      <w:pPr>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 设置分组讨论并考核的环节，提升医学英语表达能力。</w:t>
      </w:r>
    </w:p>
    <w:p w14:paraId="31B25BCA">
      <w:pPr>
        <w:spacing w:line="360" w:lineRule="auto"/>
        <w:jc w:val="both"/>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课程内容（具体以实际安排为准）：</w:t>
      </w:r>
    </w:p>
    <w:p w14:paraId="1A5B83EE">
      <w:pPr>
        <w:numPr>
          <w:ilvl w:val="0"/>
          <w:numId w:val="2"/>
        </w:num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德国医学介绍课：通过学校参观，医学系探访与学校相关实验室观摩学习，讲解介绍德国医疗系统Gesetzliche Krankenversicherung，全科医生Allgemeinmediziner的地位，专科医生的情况，公共卫生的情况，药剂师的重要性，德国医生的培训等。</w:t>
      </w:r>
    </w:p>
    <w:p w14:paraId="62E03C27">
      <w:pPr>
        <w:numPr>
          <w:ilvl w:val="0"/>
          <w:numId w:val="2"/>
        </w:num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临床医学专业课，涵盖以下主题：</w:t>
      </w:r>
    </w:p>
    <w:p w14:paraId="6F70389E">
      <w:pPr>
        <w:numPr>
          <w:ilvl w:val="0"/>
          <w:numId w:val="3"/>
        </w:numPr>
        <w:spacing w:line="360" w:lineRule="auto"/>
        <w:ind w:left="425" w:leftChars="0" w:hanging="425" w:firstLineChars="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假性剥脱综合征与青光眼：探讨假性剥脱综合征（PEX）的病理、生物学机制及其与青光眼的关系，重点分析PEX对眼内压及视神经的影响，涉及PEX的遗传因素及相关基因研究。</w:t>
      </w:r>
    </w:p>
    <w:p w14:paraId="7BC55F11">
      <w:pPr>
        <w:numPr>
          <w:ilvl w:val="0"/>
          <w:numId w:val="3"/>
        </w:numPr>
        <w:spacing w:line="360" w:lineRule="auto"/>
        <w:ind w:left="425" w:leftChars="0" w:hanging="425" w:firstLineChars="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结直肠癌研究中的小鼠模型：综述结直肠癌的基础知识和研究进展，详细描述利用小鼠模型进行结直肠癌及其转移研究的方法与技术，包括肿瘤生长、转移、血管生成、肿瘤休眠的研究方法。</w:t>
      </w:r>
    </w:p>
    <w:p w14:paraId="504E0354">
      <w:pPr>
        <w:numPr>
          <w:ilvl w:val="0"/>
          <w:numId w:val="3"/>
        </w:numPr>
        <w:spacing w:line="360" w:lineRule="auto"/>
        <w:ind w:left="425" w:leftChars="0" w:hanging="425" w:firstLineChars="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心理诊疗与精神护理：涵盖各种心理和精神疾病的诊疗方法及关怀护理策略，包括抑郁症、狂躁症、强迫症、精神分裂症和创伤性应激反应等。</w:t>
      </w:r>
    </w:p>
    <w:p w14:paraId="3E47999E">
      <w:pPr>
        <w:numPr>
          <w:ilvl w:val="0"/>
          <w:numId w:val="2"/>
        </w:numPr>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实地考察观摩课，涵盖以下内容：</w:t>
      </w:r>
    </w:p>
    <w:p w14:paraId="28F8E544">
      <w:pPr>
        <w:pStyle w:val="18"/>
        <w:numPr>
          <w:ilvl w:val="0"/>
          <w:numId w:val="4"/>
        </w:numPr>
        <w:spacing w:line="360" w:lineRule="auto"/>
        <w:ind w:firstLineChars="0"/>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欧洲医疗体系深度探索：走进德国一流医院Michelsberg Hospital（米歇尔斯贝格医院）Bruderwald Hospital （布鲁德瓦尔德医院），通过一线参观学习，了解德国医院如何运用先进医疗技术与科学管理模式提升患者护理水平。学生将与医院管理人员及医护人员深入交流，了解不同医疗科室的运作模式及患者管理流程，为学员未来的职业发展开拓全球视野；</w:t>
      </w:r>
    </w:p>
    <w:p w14:paraId="3C813F2A">
      <w:pPr>
        <w:pStyle w:val="18"/>
        <w:numPr>
          <w:ilvl w:val="0"/>
          <w:numId w:val="4"/>
        </w:numPr>
        <w:spacing w:line="360" w:lineRule="auto"/>
        <w:ind w:firstLineChars="0"/>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西门子医疗器械博物馆参观：深入探访西门子医疗器械博物馆，了解现代医疗技术的发展历程与创新成果。通过展品与互动体验，学生将感受科技在改善人类健康中的重要角色。</w:t>
      </w:r>
    </w:p>
    <w:p w14:paraId="54000E25">
      <w:pPr>
        <w:pStyle w:val="18"/>
        <w:numPr>
          <w:ilvl w:val="0"/>
          <w:numId w:val="4"/>
        </w:numPr>
        <w:spacing w:line="360" w:lineRule="auto"/>
        <w:ind w:firstLineChars="0"/>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纽伦堡医疗园区实地考察：前往纽伦堡医疗园区，实地考察前沿医疗技术的应用与研发环境。学生将与行业专家交流，获取第一手的专业知识与实践经验。</w:t>
      </w:r>
    </w:p>
    <w:p w14:paraId="16724BC9">
      <w:pPr>
        <w:spacing w:before="240" w:line="360" w:lineRule="auto"/>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项目收获：</w:t>
      </w:r>
      <w:r>
        <w:rPr>
          <w:rFonts w:hint="eastAsia" w:ascii="仿宋" w:hAnsi="仿宋" w:eastAsia="仿宋" w:cs="仿宋"/>
          <w:color w:val="auto"/>
          <w:sz w:val="24"/>
          <w:szCs w:val="24"/>
          <w:lang w:eastAsia="zh-CN"/>
        </w:rPr>
        <w:t>结课后，学生须按时完成相关考试与</w:t>
      </w:r>
      <w:r>
        <w:rPr>
          <w:rFonts w:hint="default" w:ascii="仿宋" w:hAnsi="仿宋" w:eastAsia="仿宋" w:cs="仿宋"/>
          <w:color w:val="auto"/>
          <w:sz w:val="24"/>
          <w:szCs w:val="24"/>
          <w:lang w:val="en-US" w:eastAsia="zh-CN"/>
        </w:rPr>
        <w:t>PPT</w:t>
      </w:r>
      <w:r>
        <w:rPr>
          <w:rFonts w:hint="eastAsia" w:ascii="仿宋" w:hAnsi="仿宋" w:eastAsia="仿宋" w:cs="仿宋"/>
          <w:color w:val="auto"/>
          <w:sz w:val="24"/>
          <w:szCs w:val="24"/>
          <w:lang w:val="en-US" w:eastAsia="zh-CN"/>
        </w:rPr>
        <w:t>汇报</w:t>
      </w:r>
      <w:r>
        <w:rPr>
          <w:rFonts w:hint="eastAsia" w:ascii="仿宋" w:hAnsi="仿宋" w:eastAsia="仿宋" w:cs="仿宋"/>
          <w:color w:val="auto"/>
          <w:sz w:val="24"/>
          <w:szCs w:val="24"/>
          <w:lang w:eastAsia="zh-CN"/>
        </w:rPr>
        <w:t>，并提交调查问卷与反思总结报告，将获得由埃尔朗根-纽伦堡大学颁发的结业证书（</w:t>
      </w:r>
      <w:r>
        <w:rPr>
          <w:rFonts w:hint="eastAsia" w:ascii="仿宋" w:hAnsi="仿宋" w:eastAsia="仿宋" w:cs="仿宋"/>
          <w:color w:val="auto"/>
          <w:sz w:val="24"/>
          <w:szCs w:val="24"/>
          <w:lang w:val="en-US" w:eastAsia="zh-CN"/>
        </w:rPr>
        <w:t>带成绩）</w:t>
      </w:r>
      <w:r>
        <w:rPr>
          <w:rFonts w:hint="eastAsia" w:ascii="仿宋" w:hAnsi="仿宋" w:eastAsia="仿宋" w:cs="仿宋"/>
          <w:color w:val="auto"/>
          <w:sz w:val="24"/>
          <w:szCs w:val="24"/>
          <w:lang w:eastAsia="zh-CN"/>
        </w:rPr>
        <w:t>。</w:t>
      </w:r>
    </w:p>
    <w:p w14:paraId="7D987E62">
      <w:pPr>
        <w:spacing w:line="360" w:lineRule="auto"/>
        <w:jc w:val="both"/>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住宿情况：</w:t>
      </w:r>
      <w:r>
        <w:rPr>
          <w:rFonts w:hint="eastAsia" w:ascii="仿宋" w:hAnsi="仿宋" w:eastAsia="仿宋" w:cs="仿宋"/>
          <w:color w:val="auto"/>
          <w:sz w:val="24"/>
          <w:szCs w:val="24"/>
          <w:lang w:eastAsia="zh-CN"/>
        </w:rPr>
        <w:t>根据当时资源情况安排入住酒店公寓，双人间，餐食自费。</w:t>
      </w:r>
    </w:p>
    <w:p w14:paraId="508EC727">
      <w:pPr>
        <w:pStyle w:val="18"/>
        <w:numPr>
          <w:ilvl w:val="0"/>
          <w:numId w:val="5"/>
        </w:numPr>
        <w:spacing w:line="360" w:lineRule="auto"/>
        <w:ind w:firstLineChars="0"/>
        <w:jc w:val="both"/>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费用及资助说明</w:t>
      </w:r>
    </w:p>
    <w:p w14:paraId="31217D46">
      <w:pPr>
        <w:pStyle w:val="18"/>
        <w:numPr>
          <w:ilvl w:val="0"/>
          <w:numId w:val="6"/>
        </w:numPr>
        <w:spacing w:line="360" w:lineRule="auto"/>
        <w:ind w:firstLineChars="0"/>
        <w:jc w:val="both"/>
        <w:rPr>
          <w:rFonts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项目费用：</w:t>
      </w:r>
      <w:r>
        <w:rPr>
          <w:rFonts w:hint="eastAsia"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lang w:val="en-US" w:eastAsia="zh-CN"/>
        </w:rPr>
        <w:t>75</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欧元（折合人民币约</w:t>
      </w:r>
      <w:r>
        <w:rPr>
          <w:rFonts w:hint="default" w:ascii="仿宋" w:hAnsi="仿宋" w:eastAsia="仿宋" w:cs="仿宋"/>
          <w:color w:val="auto"/>
          <w:sz w:val="24"/>
          <w:szCs w:val="24"/>
          <w:highlight w:val="none"/>
          <w:lang w:val="en-US" w:eastAsia="zh-CN"/>
        </w:rPr>
        <w:t>2</w:t>
      </w:r>
      <w:r>
        <w:rPr>
          <w:rFonts w:ascii="仿宋" w:hAnsi="仿宋" w:eastAsia="仿宋" w:cs="仿宋"/>
          <w:color w:val="auto"/>
          <w:sz w:val="24"/>
          <w:szCs w:val="24"/>
          <w:highlight w:val="none"/>
          <w:lang w:eastAsia="zh-CN"/>
        </w:rPr>
        <w:t>.</w:t>
      </w:r>
      <w:r>
        <w:rPr>
          <w:rFonts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万，根据汇率浮动），包含学费、活动课费用、</w:t>
      </w:r>
      <w:r>
        <w:rPr>
          <w:rFonts w:hint="eastAsia" w:ascii="仿宋" w:hAnsi="仿宋" w:eastAsia="仿宋" w:cs="仿宋"/>
          <w:color w:val="auto"/>
          <w:sz w:val="24"/>
          <w:szCs w:val="24"/>
          <w:lang w:eastAsia="zh-CN"/>
        </w:rPr>
        <w:t>住宿、</w:t>
      </w:r>
      <w:r>
        <w:rPr>
          <w:rFonts w:hint="eastAsia" w:ascii="仿宋" w:hAnsi="仿宋" w:eastAsia="仿宋" w:cs="仿宋"/>
          <w:color w:val="auto"/>
          <w:sz w:val="24"/>
          <w:szCs w:val="24"/>
          <w:lang w:val="en-US" w:eastAsia="zh-CN"/>
        </w:rPr>
        <w:t>统一</w:t>
      </w:r>
      <w:r>
        <w:rPr>
          <w:rFonts w:hint="eastAsia" w:ascii="仿宋" w:hAnsi="仿宋" w:eastAsia="仿宋" w:cs="仿宋"/>
          <w:color w:val="auto"/>
          <w:sz w:val="24"/>
          <w:szCs w:val="24"/>
          <w:lang w:eastAsia="zh-CN"/>
        </w:rPr>
        <w:t>接送机费用。</w:t>
      </w:r>
    </w:p>
    <w:p w14:paraId="7659A44B">
      <w:pPr>
        <w:pStyle w:val="18"/>
        <w:numPr>
          <w:ilvl w:val="0"/>
          <w:numId w:val="6"/>
        </w:numPr>
        <w:spacing w:line="360" w:lineRule="auto"/>
        <w:ind w:firstLineChars="0"/>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其余费用参考：机票、签证、境外保险、生活费等费用须自付。项目方协助办理各项事宜，并提供衣食住行指导。</w:t>
      </w:r>
    </w:p>
    <w:p w14:paraId="263A47CB">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国际往返机票：往期价格约8000元人民币，具体以航司官网为准</w:t>
      </w:r>
    </w:p>
    <w:p w14:paraId="45F15AC8">
      <w:pPr>
        <w:spacing w:line="360" w:lineRule="auto"/>
        <w:jc w:val="both"/>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签证费：115欧元，约905元</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不含领馆快递费或者预约加急等增值服务</w:t>
      </w:r>
      <w:r>
        <w:rPr>
          <w:rFonts w:hint="eastAsia" w:ascii="仿宋" w:hAnsi="仿宋" w:eastAsia="仿宋" w:cs="仿宋"/>
          <w:color w:val="auto"/>
          <w:sz w:val="24"/>
          <w:szCs w:val="24"/>
          <w:lang w:val="en-US" w:eastAsia="zh-CN"/>
        </w:rPr>
        <w:t>）</w:t>
      </w:r>
    </w:p>
    <w:p w14:paraId="32DF10A1">
      <w:pPr>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境外保险：500元人民币</w:t>
      </w:r>
    </w:p>
    <w:p w14:paraId="6643E2BC">
      <w:pPr>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德国餐费：约8-15欧元/餐</w:t>
      </w:r>
    </w:p>
    <w:p w14:paraId="0B900FEA">
      <w:pPr>
        <w:spacing w:line="360" w:lineRule="auto"/>
        <w:jc w:val="both"/>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四、申请条件</w:t>
      </w:r>
    </w:p>
    <w:p w14:paraId="3D92DE73">
      <w:pPr>
        <w:numPr>
          <w:ilvl w:val="0"/>
          <w:numId w:val="7"/>
        </w:numPr>
        <w:spacing w:line="360" w:lineRule="auto"/>
        <w:jc w:val="both"/>
        <w:rPr>
          <w:rFonts w:ascii="仿宋" w:hAnsi="仿宋" w:eastAsia="仿宋" w:cs="仿宋"/>
          <w:color w:val="auto"/>
          <w:sz w:val="24"/>
          <w:szCs w:val="28"/>
          <w:lang w:eastAsia="zh-CN"/>
        </w:rPr>
      </w:pPr>
      <w:r>
        <w:rPr>
          <w:rFonts w:hint="eastAsia" w:ascii="仿宋" w:hAnsi="仿宋" w:eastAsia="仿宋" w:cs="仿宋"/>
          <w:color w:val="auto"/>
          <w:sz w:val="24"/>
          <w:szCs w:val="24"/>
          <w:lang w:eastAsia="zh-CN"/>
        </w:rPr>
        <w:t>本科及以上学历，</w:t>
      </w:r>
      <w:r>
        <w:rPr>
          <w:rFonts w:hint="eastAsia" w:ascii="仿宋" w:hAnsi="仿宋" w:eastAsia="仿宋" w:cs="仿宋"/>
          <w:color w:val="auto"/>
          <w:sz w:val="24"/>
          <w:szCs w:val="28"/>
          <w:lang w:eastAsia="zh-CN"/>
        </w:rPr>
        <w:t>须年满18周岁；</w:t>
      </w:r>
    </w:p>
    <w:p w14:paraId="515FE705">
      <w:pPr>
        <w:numPr>
          <w:ilvl w:val="0"/>
          <w:numId w:val="7"/>
        </w:numPr>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临床医学类专业、具备相关领域专业基础知识；</w:t>
      </w:r>
    </w:p>
    <w:p w14:paraId="3AF6136A">
      <w:pPr>
        <w:numPr>
          <w:ilvl w:val="0"/>
          <w:numId w:val="7"/>
        </w:numPr>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英语要求：</w:t>
      </w:r>
      <w:r>
        <w:rPr>
          <w:rFonts w:hint="eastAsia" w:ascii="仿宋" w:hAnsi="仿宋" w:eastAsia="仿宋" w:cs="仿宋"/>
          <w:color w:val="auto"/>
          <w:sz w:val="24"/>
          <w:szCs w:val="24"/>
          <w:lang w:val="en-US" w:eastAsia="zh-CN"/>
        </w:rPr>
        <w:t>需熟练掌握英语听、说、读、写能力，相当于大学英语四级550分或六级500分或雅思6分及以上水平，或通过项目方面试；</w:t>
      </w:r>
    </w:p>
    <w:p w14:paraId="110FC11D">
      <w:pPr>
        <w:numPr>
          <w:ilvl w:val="0"/>
          <w:numId w:val="7"/>
        </w:numPr>
        <w:spacing w:line="360" w:lineRule="auto"/>
        <w:jc w:val="both"/>
        <w:rPr>
          <w:rFonts w:ascii="仿宋" w:hAnsi="仿宋" w:eastAsia="仿宋" w:cs="仿宋"/>
          <w:color w:val="auto"/>
          <w:sz w:val="24"/>
          <w:szCs w:val="28"/>
          <w:lang w:eastAsia="zh-CN"/>
        </w:rPr>
      </w:pPr>
      <w:r>
        <w:rPr>
          <w:rFonts w:hint="eastAsia" w:ascii="仿宋" w:hAnsi="仿宋" w:eastAsia="仿宋" w:cs="仿宋"/>
          <w:color w:val="auto"/>
          <w:sz w:val="24"/>
          <w:szCs w:val="28"/>
          <w:lang w:eastAsia="zh-CN"/>
        </w:rPr>
        <w:t>具有高度的自我激励和团队意识，具备一定的</w:t>
      </w:r>
      <w:r>
        <w:rPr>
          <w:rFonts w:hint="eastAsia" w:ascii="仿宋" w:hAnsi="仿宋" w:eastAsia="仿宋" w:cs="仿宋"/>
          <w:color w:val="auto"/>
          <w:sz w:val="24"/>
          <w:szCs w:val="28"/>
          <w:lang w:val="en-US" w:eastAsia="zh-CN"/>
        </w:rPr>
        <w:t>个人自理</w:t>
      </w:r>
      <w:r>
        <w:rPr>
          <w:rFonts w:hint="eastAsia" w:ascii="仿宋" w:hAnsi="仿宋" w:eastAsia="仿宋" w:cs="仿宋"/>
          <w:color w:val="auto"/>
          <w:sz w:val="24"/>
          <w:szCs w:val="28"/>
          <w:lang w:eastAsia="zh-CN"/>
        </w:rPr>
        <w:t>能力；</w:t>
      </w:r>
    </w:p>
    <w:p w14:paraId="515DAF3E">
      <w:pPr>
        <w:numPr>
          <w:ilvl w:val="0"/>
          <w:numId w:val="7"/>
        </w:numPr>
        <w:spacing w:line="360" w:lineRule="auto"/>
        <w:jc w:val="both"/>
        <w:rPr>
          <w:rFonts w:ascii="仿宋" w:hAnsi="仿宋" w:eastAsia="仿宋" w:cs="仿宋"/>
          <w:color w:val="auto"/>
          <w:sz w:val="24"/>
          <w:szCs w:val="28"/>
          <w:lang w:eastAsia="zh-CN"/>
        </w:rPr>
      </w:pPr>
      <w:r>
        <w:rPr>
          <w:rFonts w:hint="eastAsia" w:ascii="仿宋" w:hAnsi="仿宋" w:eastAsia="仿宋" w:cs="仿宋"/>
          <w:color w:val="auto"/>
          <w:sz w:val="24"/>
          <w:szCs w:val="28"/>
          <w:lang w:eastAsia="zh-CN"/>
        </w:rPr>
        <w:t>遵纪守法，自觉维护国家形象和学校名誉。</w:t>
      </w:r>
    </w:p>
    <w:p w14:paraId="0DCCE9F3">
      <w:pPr>
        <w:spacing w:line="360" w:lineRule="auto"/>
        <w:jc w:val="both"/>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五、报名与咨询</w:t>
      </w:r>
    </w:p>
    <w:p w14:paraId="19606112">
      <w:pPr>
        <w:pStyle w:val="2"/>
        <w:numPr>
          <w:ilvl w:val="0"/>
          <w:numId w:val="8"/>
        </w:numPr>
        <w:spacing w:line="360" w:lineRule="auto"/>
        <w:ind w:leftChars="0" w:firstLineChars="0"/>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按学校要求填写校内报名表。</w:t>
      </w:r>
    </w:p>
    <w:p w14:paraId="3AF603DF">
      <w:pPr>
        <w:pStyle w:val="2"/>
        <w:numPr>
          <w:ilvl w:val="0"/>
          <w:numId w:val="8"/>
        </w:numPr>
        <w:spacing w:line="360" w:lineRule="auto"/>
        <w:ind w:leftChars="0" w:firstLineChars="0"/>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打开链接：</w:t>
      </w:r>
      <w:r>
        <w:rPr>
          <w:rStyle w:val="10"/>
          <w:rFonts w:hint="eastAsia" w:ascii="仿宋" w:hAnsi="仿宋" w:eastAsia="仿宋" w:cs="仿宋"/>
          <w:color w:val="auto"/>
          <w:sz w:val="24"/>
          <w:szCs w:val="24"/>
          <w:lang w:eastAsia="zh-CN"/>
        </w:rPr>
        <w:fldChar w:fldCharType="begin"/>
      </w:r>
      <w:r>
        <w:rPr>
          <w:rStyle w:val="10"/>
          <w:rFonts w:hint="eastAsia" w:ascii="仿宋" w:hAnsi="仿宋" w:eastAsia="仿宋" w:cs="仿宋"/>
          <w:color w:val="auto"/>
          <w:sz w:val="24"/>
          <w:szCs w:val="24"/>
          <w:lang w:eastAsia="zh-CN"/>
        </w:rPr>
        <w:instrText xml:space="preserve"> HYPERLINK "https://jsj.top/f/juhhSI" </w:instrText>
      </w:r>
      <w:r>
        <w:rPr>
          <w:rStyle w:val="10"/>
          <w:rFonts w:hint="eastAsia" w:ascii="仿宋" w:hAnsi="仿宋" w:eastAsia="仿宋" w:cs="仿宋"/>
          <w:color w:val="auto"/>
          <w:sz w:val="24"/>
          <w:szCs w:val="24"/>
          <w:lang w:eastAsia="zh-CN"/>
        </w:rPr>
        <w:fldChar w:fldCharType="separate"/>
      </w:r>
      <w:r>
        <w:rPr>
          <w:rStyle w:val="10"/>
          <w:rFonts w:hint="eastAsia" w:ascii="仿宋" w:hAnsi="仿宋" w:eastAsia="仿宋" w:cs="仿宋"/>
          <w:sz w:val="24"/>
          <w:szCs w:val="24"/>
          <w:lang w:eastAsia="zh-CN"/>
        </w:rPr>
        <w:t>https://jsj.top/f/juhhSI</w:t>
      </w:r>
      <w:r>
        <w:rPr>
          <w:rStyle w:val="10"/>
          <w:rFonts w:hint="eastAsia" w:ascii="仿宋" w:hAnsi="仿宋" w:eastAsia="仿宋" w:cs="仿宋"/>
          <w:color w:val="auto"/>
          <w:sz w:val="24"/>
          <w:szCs w:val="24"/>
          <w:lang w:eastAsia="zh-CN"/>
        </w:rPr>
        <w:fldChar w:fldCharType="end"/>
      </w:r>
      <w:r>
        <w:rPr>
          <w:rFonts w:hint="eastAsia" w:ascii="仿宋" w:hAnsi="仿宋" w:eastAsia="仿宋" w:cs="仿宋"/>
          <w:color w:val="auto"/>
          <w:sz w:val="24"/>
          <w:szCs w:val="24"/>
          <w:lang w:eastAsia="zh-CN"/>
        </w:rPr>
        <w:t>，填写项目主办方报名表。</w:t>
      </w:r>
    </w:p>
    <w:p w14:paraId="6E010A84">
      <w:pPr>
        <w:pStyle w:val="2"/>
        <w:numPr>
          <w:ilvl w:val="0"/>
          <w:numId w:val="8"/>
        </w:numPr>
        <w:spacing w:line="360" w:lineRule="auto"/>
        <w:ind w:leftChars="0" w:firstLineChars="0"/>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报名后</w:t>
      </w:r>
      <w:r>
        <w:rPr>
          <w:rFonts w:hint="eastAsia" w:ascii="仿宋" w:hAnsi="仿宋" w:eastAsia="仿宋" w:cs="仿宋"/>
          <w:color w:val="auto"/>
          <w:sz w:val="24"/>
          <w:szCs w:val="24"/>
          <w:lang w:val="en-US" w:eastAsia="zh-CN"/>
        </w:rPr>
        <w:t>需</w:t>
      </w:r>
      <w:r>
        <w:rPr>
          <w:rFonts w:hint="eastAsia" w:ascii="仿宋" w:hAnsi="仿宋" w:eastAsia="仿宋" w:cs="仿宋"/>
          <w:color w:val="auto"/>
          <w:sz w:val="24"/>
          <w:szCs w:val="24"/>
          <w:lang w:eastAsia="zh-CN"/>
        </w:rPr>
        <w:t>预约面试：</w:t>
      </w: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"https://jsj.top/f/MRGT1y" </w:instrText>
      </w:r>
      <w:r>
        <w:rPr>
          <w:rFonts w:hint="eastAsia" w:ascii="仿宋" w:hAnsi="仿宋" w:eastAsia="仿宋" w:cs="仿宋"/>
          <w:color w:val="auto"/>
          <w:sz w:val="24"/>
          <w:szCs w:val="24"/>
          <w:lang w:eastAsia="zh-CN"/>
        </w:rPr>
        <w:fldChar w:fldCharType="separate"/>
      </w:r>
      <w:r>
        <w:rPr>
          <w:rStyle w:val="10"/>
          <w:rFonts w:hint="eastAsia" w:ascii="仿宋" w:hAnsi="仿宋" w:eastAsia="仿宋" w:cs="仿宋"/>
          <w:color w:val="auto"/>
          <w:sz w:val="24"/>
          <w:szCs w:val="24"/>
          <w:lang w:eastAsia="zh-CN"/>
        </w:rPr>
        <w:t>https://jsj.top/f/MRGT1y</w:t>
      </w:r>
      <w:r>
        <w:rPr>
          <w:rFonts w:hint="eastAsia" w:ascii="仿宋" w:hAnsi="仿宋" w:eastAsia="仿宋" w:cs="仿宋"/>
          <w:color w:val="auto"/>
          <w:sz w:val="24"/>
          <w:szCs w:val="24"/>
          <w:lang w:eastAsia="zh-CN"/>
        </w:rPr>
        <w:fldChar w:fldCharType="end"/>
      </w:r>
      <w:r>
        <w:rPr>
          <w:rFonts w:hint="eastAsia" w:ascii="仿宋" w:hAnsi="仿宋" w:eastAsia="仿宋" w:cs="仿宋"/>
          <w:color w:val="auto"/>
          <w:sz w:val="24"/>
          <w:szCs w:val="24"/>
          <w:lang w:eastAsia="zh-CN"/>
        </w:rPr>
        <w:t>（所有报名的学生都需要参加面试）</w:t>
      </w:r>
    </w:p>
    <w:p w14:paraId="38CBC457">
      <w:pPr>
        <w:pStyle w:val="2"/>
        <w:spacing w:line="360" w:lineRule="auto"/>
        <w:ind w:left="0" w:leftChars="0" w:firstLine="0" w:firstLineChars="0"/>
        <w:jc w:val="both"/>
        <w:rPr>
          <w:rFonts w:ascii="仿宋" w:hAnsi="仿宋" w:eastAsia="仿宋" w:cs="仿宋"/>
          <w:color w:val="auto"/>
          <w:sz w:val="24"/>
          <w:szCs w:val="24"/>
          <w:highlight w:val="yellow"/>
          <w:lang w:eastAsia="zh-CN"/>
        </w:rPr>
      </w:pPr>
      <w:r>
        <w:rPr>
          <w:rFonts w:hint="eastAsia" w:ascii="仿宋" w:hAnsi="仿宋" w:eastAsia="仿宋" w:cs="仿宋"/>
          <w:color w:val="auto"/>
          <w:sz w:val="24"/>
          <w:szCs w:val="24"/>
          <w:lang w:eastAsia="zh-CN"/>
        </w:rPr>
        <w:t>报名截止时间：</w:t>
      </w:r>
      <w:r>
        <w:rPr>
          <w:rFonts w:hint="eastAsia" w:ascii="仿宋" w:hAnsi="仿宋" w:eastAsia="仿宋" w:cs="仿宋"/>
          <w:color w:val="auto"/>
          <w:sz w:val="24"/>
          <w:szCs w:val="24"/>
          <w:lang w:val="en-US" w:eastAsia="zh-CN"/>
        </w:rPr>
        <w:t>2024年</w:t>
      </w:r>
      <w:r>
        <w:rPr>
          <w:rFonts w:hint="eastAsia" w:ascii="仿宋" w:hAnsi="仿宋" w:eastAsia="仿宋" w:cs="仿宋"/>
          <w:color w:val="auto"/>
          <w:sz w:val="24"/>
          <w:szCs w:val="24"/>
          <w:lang w:eastAsia="zh-CN"/>
        </w:rPr>
        <w:t>10月30日</w:t>
      </w:r>
      <w:r>
        <w:rPr>
          <w:rFonts w:hint="eastAsia" w:ascii="仿宋" w:hAnsi="仿宋" w:eastAsia="仿宋" w:cs="仿宋"/>
          <w:color w:val="auto"/>
          <w:sz w:val="24"/>
          <w:szCs w:val="24"/>
          <w:highlight w:val="yellow"/>
          <w:lang w:eastAsia="zh-CN"/>
        </w:rPr>
        <w:t>（报名截止时间由各校根据情况确定）</w:t>
      </w:r>
    </w:p>
    <w:p w14:paraId="43D4F796">
      <w:pPr>
        <w:pStyle w:val="2"/>
        <w:spacing w:line="360" w:lineRule="auto"/>
        <w:ind w:left="0" w:leftChars="0" w:firstLine="0" w:firstLineChars="0"/>
        <w:jc w:val="both"/>
        <w:rPr>
          <w:rFonts w:ascii="仿宋" w:hAnsi="仿宋" w:eastAsia="仿宋" w:cs="仿宋"/>
          <w:color w:val="auto"/>
          <w:sz w:val="24"/>
          <w:szCs w:val="24"/>
          <w:highlight w:val="yellow"/>
          <w:lang w:eastAsia="zh-CN"/>
        </w:rPr>
      </w:pPr>
    </w:p>
    <w:p w14:paraId="075BD0B6">
      <w:pPr>
        <w:pStyle w:val="2"/>
        <w:spacing w:line="360" w:lineRule="auto"/>
        <w:ind w:left="0" w:leftChars="0" w:firstLine="0" w:firstLineChars="0"/>
        <w:jc w:val="both"/>
        <w:rPr>
          <w:rFonts w:hint="eastAsia" w:ascii="仿宋" w:hAnsi="仿宋" w:eastAsia="仿宋" w:cs="仿宋"/>
          <w:color w:val="auto"/>
          <w:sz w:val="24"/>
          <w:szCs w:val="24"/>
          <w:lang w:eastAsia="zh-CN"/>
        </w:rPr>
      </w:pPr>
      <w:bookmarkStart w:id="0" w:name="_GoBack"/>
      <w:bookmarkEnd w:id="0"/>
      <w:r>
        <w:rPr>
          <w:rFonts w:hint="eastAsia" w:ascii="仿宋" w:hAnsi="仿宋" w:eastAsia="仿宋" w:cs="仿宋"/>
          <w:color w:val="auto"/>
          <w:sz w:val="24"/>
          <w:szCs w:val="24"/>
          <w:lang w:eastAsia="zh-CN"/>
        </w:rPr>
        <w:t>咨询手机/微信：13059106109（</w:t>
      </w:r>
      <w:r>
        <w:rPr>
          <w:rFonts w:hint="eastAsia" w:ascii="仿宋" w:hAnsi="仿宋" w:eastAsia="仿宋" w:cs="仿宋"/>
          <w:color w:val="auto"/>
          <w:sz w:val="24"/>
          <w:szCs w:val="24"/>
          <w:lang w:val="en-US" w:eastAsia="zh-CN"/>
        </w:rPr>
        <w:t>Wendy</w:t>
      </w:r>
      <w:r>
        <w:rPr>
          <w:rFonts w:hint="eastAsia" w:ascii="仿宋" w:hAnsi="仿宋" w:eastAsia="仿宋" w:cs="仿宋"/>
          <w:color w:val="auto"/>
          <w:sz w:val="24"/>
          <w:szCs w:val="24"/>
          <w:lang w:eastAsia="zh-CN"/>
        </w:rPr>
        <w:t xml:space="preserve">老师） </w:t>
      </w:r>
    </w:p>
    <w:p w14:paraId="557E54E9">
      <w:pPr>
        <w:pStyle w:val="2"/>
        <w:spacing w:line="360" w:lineRule="auto"/>
        <w:ind w:left="0" w:leftChars="0" w:firstLine="0" w:firstLineChars="0"/>
        <w:jc w:val="both"/>
        <w:rPr>
          <w:rFonts w:hint="eastAsia" w:ascii="仿宋" w:hAnsi="仿宋" w:eastAsia="仿宋" w:cs="仿宋"/>
          <w:color w:val="auto"/>
          <w:sz w:val="24"/>
          <w:szCs w:val="24"/>
          <w:lang w:eastAsia="zh-CN"/>
        </w:rPr>
      </w:pPr>
    </w:p>
    <w:p w14:paraId="0CBDD42B">
      <w:pPr>
        <w:pStyle w:val="2"/>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color w:val="auto"/>
          <w:sz w:val="24"/>
          <w:szCs w:val="24"/>
          <w:u w:val="none"/>
          <w:lang w:val="en-US" w:eastAsia="zh-CN" w:bidi="ar-SA"/>
        </w:rPr>
        <w:fldChar w:fldCharType="begin"/>
      </w:r>
      <w:r>
        <w:rPr>
          <w:rFonts w:hint="eastAsia" w:ascii="仿宋" w:hAnsi="仿宋" w:eastAsia="仿宋" w:cs="仿宋"/>
          <w:color w:val="auto"/>
          <w:sz w:val="24"/>
          <w:szCs w:val="24"/>
          <w:u w:val="none"/>
          <w:lang w:val="en-US" w:eastAsia="zh-CN" w:bidi="ar-SA"/>
        </w:rPr>
        <w:instrText xml:space="preserve"> HYPERLINK "https://book.yunzhan365.com/hobdw/wcyp/mobile/index.html" </w:instrText>
      </w:r>
      <w:r>
        <w:rPr>
          <w:rFonts w:hint="eastAsia" w:ascii="仿宋" w:hAnsi="仿宋" w:eastAsia="仿宋" w:cs="仿宋"/>
          <w:color w:val="auto"/>
          <w:sz w:val="24"/>
          <w:szCs w:val="24"/>
          <w:u w:val="none"/>
          <w:lang w:val="en-US" w:eastAsia="zh-CN" w:bidi="ar-SA"/>
        </w:rPr>
        <w:fldChar w:fldCharType="separate"/>
      </w:r>
      <w:r>
        <w:rPr>
          <w:rStyle w:val="10"/>
          <w:rFonts w:hint="eastAsia" w:ascii="仿宋" w:hAnsi="仿宋" w:eastAsia="仿宋" w:cs="仿宋"/>
          <w:sz w:val="24"/>
          <w:szCs w:val="24"/>
          <w:lang w:val="en-US" w:eastAsia="zh-CN" w:bidi="ar-SA"/>
        </w:rPr>
        <w:t>附件—2025年寒假德国埃尔朗根-纽伦堡大学临床医学两周访学项目</w:t>
      </w:r>
      <w:r>
        <w:rPr>
          <w:rFonts w:hint="eastAsia" w:ascii="仿宋" w:hAnsi="仿宋" w:eastAsia="仿宋" w:cs="仿宋"/>
          <w:color w:val="auto"/>
          <w:sz w:val="24"/>
          <w:szCs w:val="24"/>
          <w:u w:val="none"/>
          <w:lang w:val="en-US" w:eastAsia="zh-CN" w:bidi="ar-SA"/>
        </w:rPr>
        <w:fldChar w:fldCharType="end"/>
      </w:r>
    </w:p>
    <w:p w14:paraId="3D40292F">
      <w:pPr>
        <w:pStyle w:val="2"/>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点击链接或扫描二维码查看附件：</w:t>
      </w:r>
    </w:p>
    <w:p w14:paraId="1E25DEE6">
      <w:pPr>
        <w:pStyle w:val="2"/>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fldChar w:fldCharType="begin"/>
      </w:r>
      <w:r>
        <w:rPr>
          <w:rFonts w:hint="eastAsia" w:ascii="仿宋" w:hAnsi="仿宋" w:eastAsia="仿宋" w:cs="仿宋"/>
          <w:sz w:val="24"/>
          <w:szCs w:val="24"/>
          <w:lang w:val="en-US" w:eastAsia="zh-CN" w:bidi="ar-SA"/>
        </w:rPr>
        <w:instrText xml:space="preserve"> HYPERLINK "https://book.yunzhan365.com/hobdw/wcyp/mobile/index.html" </w:instrText>
      </w:r>
      <w:r>
        <w:rPr>
          <w:rFonts w:hint="eastAsia" w:ascii="仿宋" w:hAnsi="仿宋" w:eastAsia="仿宋" w:cs="仿宋"/>
          <w:sz w:val="24"/>
          <w:szCs w:val="24"/>
          <w:lang w:val="en-US" w:eastAsia="zh-CN" w:bidi="ar-SA"/>
        </w:rPr>
        <w:fldChar w:fldCharType="separate"/>
      </w:r>
      <w:r>
        <w:rPr>
          <w:rStyle w:val="10"/>
          <w:rFonts w:hint="eastAsia" w:ascii="仿宋" w:hAnsi="仿宋" w:eastAsia="仿宋" w:cs="仿宋"/>
          <w:sz w:val="24"/>
          <w:szCs w:val="24"/>
          <w:lang w:val="en-US" w:eastAsia="zh-CN" w:bidi="ar-SA"/>
        </w:rPr>
        <w:t>https://book.yunzhan365.com/hobdw/wcyp/mobile/index.html</w:t>
      </w:r>
      <w:r>
        <w:rPr>
          <w:rFonts w:hint="eastAsia" w:ascii="仿宋" w:hAnsi="仿宋" w:eastAsia="仿宋" w:cs="仿宋"/>
          <w:sz w:val="24"/>
          <w:szCs w:val="24"/>
          <w:lang w:val="en-US" w:eastAsia="zh-CN" w:bidi="ar-SA"/>
        </w:rPr>
        <w:fldChar w:fldCharType="end"/>
      </w:r>
    </w:p>
    <w:p w14:paraId="53BADFBC">
      <w:pPr>
        <w:pStyle w:val="2"/>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drawing>
          <wp:inline distT="0" distB="0" distL="0" distR="0">
            <wp:extent cx="1460500" cy="1460500"/>
            <wp:effectExtent l="0" t="0" r="6350" b="6350"/>
            <wp:docPr id="1026" name="图片 1" descr="附件-2025年寒假德国埃尔朗根-纽伦堡大学临床医学两周访学项目-二维码"/>
            <wp:cNvGraphicFramePr/>
            <a:graphic xmlns:a="http://schemas.openxmlformats.org/drawingml/2006/main">
              <a:graphicData uri="http://schemas.openxmlformats.org/drawingml/2006/picture">
                <pic:pic xmlns:pic="http://schemas.openxmlformats.org/drawingml/2006/picture">
                  <pic:nvPicPr>
                    <pic:cNvPr id="1026" name="图片 1" descr="附件-2025年寒假德国埃尔朗根-纽伦堡大学临床医学两周访学项目-二维码"/>
                    <pic:cNvPicPr/>
                  </pic:nvPicPr>
                  <pic:blipFill>
                    <a:blip r:embed="rId7" cstate="print"/>
                    <a:srcRect/>
                    <a:stretch>
                      <a:fillRect/>
                    </a:stretch>
                  </pic:blipFill>
                  <pic:spPr>
                    <a:xfrm>
                      <a:off x="0" y="0"/>
                      <a:ext cx="1460500" cy="1460500"/>
                    </a:xfrm>
                    <a:prstGeom prst="rect">
                      <a:avLst/>
                    </a:prstGeom>
                  </pic:spPr>
                </pic:pic>
              </a:graphicData>
            </a:graphic>
          </wp:inline>
        </w:drawing>
      </w:r>
    </w:p>
    <w:p w14:paraId="11983983">
      <w:pPr>
        <w:pStyle w:val="2"/>
        <w:spacing w:line="360" w:lineRule="auto"/>
        <w:ind w:left="0" w:leftChars="0" w:firstLine="0" w:firstLineChars="0"/>
        <w:jc w:val="both"/>
        <w:rPr>
          <w:rFonts w:hint="eastAsia" w:ascii="仿宋" w:hAnsi="仿宋" w:eastAsia="仿宋" w:cs="仿宋"/>
          <w:color w:val="auto"/>
          <w:sz w:val="24"/>
          <w:szCs w:val="24"/>
          <w:lang w:eastAsia="zh-CN"/>
        </w:rPr>
      </w:pPr>
    </w:p>
    <w:sectPr>
      <w:headerReference r:id="rId5" w:type="default"/>
      <w:pgSz w:w="11906" w:h="16838"/>
      <w:pgMar w:top="1440" w:right="1080" w:bottom="1440" w:left="1080" w:header="284" w:footer="28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F18E">
    <w:pPr>
      <w:pStyle w:val="5"/>
      <w:pBdr>
        <w:bottom w:val="none" w:color="auto" w:sz="0" w:space="0"/>
      </w:pBdr>
      <w:spacing w:after="0"/>
      <w:jc w:val="right"/>
      <w:rPr>
        <w:rFonts w:ascii="等线" w:hAnsi="等线" w:eastAsia="等线"/>
        <w:b/>
        <w:bCs/>
        <w:color w:val="000000"/>
        <w:sz w:val="24"/>
        <w:szCs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lowerLetter"/>
      <w:lvlText w:val="%1."/>
      <w:lvlJc w:val="left"/>
      <w:pPr>
        <w:ind w:left="425" w:hanging="425"/>
      </w:pPr>
      <w:rPr>
        <w:rFonts w:hint="default"/>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3"/>
      <w:numFmt w:val="japaneseCounting"/>
      <w:lvlText w:val="%1、"/>
      <w:lvlJc w:val="left"/>
      <w:pPr>
        <w:ind w:left="600" w:hanging="6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0000004"/>
    <w:multiLevelType w:val="singleLevel"/>
    <w:tmpl w:val="00000004"/>
    <w:lvl w:ilvl="0" w:tentative="0">
      <w:start w:val="1"/>
      <w:numFmt w:val="decimal"/>
      <w:lvlText w:val="(%1)"/>
      <w:lvlJc w:val="left"/>
      <w:pPr>
        <w:ind w:left="425" w:hanging="425"/>
      </w:pPr>
      <w:rPr>
        <w:rFonts w:hint="default"/>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00000006"/>
    <w:multiLevelType w:val="singleLevel"/>
    <w:tmpl w:val="00000006"/>
    <w:lvl w:ilvl="0" w:tentative="0">
      <w:start w:val="1"/>
      <w:numFmt w:val="decimal"/>
      <w:suff w:val="space"/>
      <w:lvlText w:val="%1."/>
      <w:lvlJc w:val="left"/>
    </w:lvl>
  </w:abstractNum>
  <w:abstractNum w:abstractNumId="7">
    <w:nsid w:val="00000008"/>
    <w:multiLevelType w:val="multilevel"/>
    <w:tmpl w:val="0000000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NDUzYmIxZTM2NTlkZDU2Nzk4NDI1ZDYzYTAxZmEifQ=="/>
  </w:docVars>
  <w:rsids>
    <w:rsidRoot w:val="00000000"/>
    <w:rsid w:val="00D5688F"/>
    <w:rsid w:val="0379139B"/>
    <w:rsid w:val="1A143B2C"/>
    <w:rsid w:val="1B3C701D"/>
    <w:rsid w:val="2079293B"/>
    <w:rsid w:val="28B00ECC"/>
    <w:rsid w:val="44CE606F"/>
    <w:rsid w:val="56C37E91"/>
    <w:rsid w:val="5F7474EE"/>
    <w:rsid w:val="61DD14C3"/>
    <w:rsid w:val="694110E9"/>
    <w:rsid w:val="730E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jc w:val="left"/>
    </w:pPr>
    <w:rPr>
      <w:rFonts w:ascii="Calibri" w:hAnsi="Calibri" w:eastAsia="Times New Roman" w:cs="Times New Roman"/>
      <w:kern w:val="0"/>
      <w:sz w:val="22"/>
      <w:szCs w:val="22"/>
      <w:lang w:val="en-US" w:eastAsia="en-US"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First Indent 2"/>
    <w:basedOn w:val="3"/>
    <w:link w:val="13"/>
    <w:qFormat/>
    <w:uiPriority w:val="99"/>
    <w:pPr>
      <w:ind w:firstLine="420" w:firstLineChars="200"/>
    </w:pPr>
  </w:style>
  <w:style w:type="paragraph" w:styleId="3">
    <w:name w:val="Body Text Indent"/>
    <w:basedOn w:val="1"/>
    <w:next w:val="2"/>
    <w:link w:val="12"/>
    <w:qFormat/>
    <w:uiPriority w:val="99"/>
    <w:pPr>
      <w:spacing w:after="120"/>
      <w:ind w:left="420" w:leftChars="200"/>
    </w:pPr>
  </w:style>
  <w:style w:type="paragraph" w:styleId="4">
    <w:name w:val="footer"/>
    <w:basedOn w:val="1"/>
    <w:link w:val="17"/>
    <w:qFormat/>
    <w:uiPriority w:val="99"/>
    <w:pPr>
      <w:tabs>
        <w:tab w:val="center" w:pos="4153"/>
        <w:tab w:val="right" w:pos="8306"/>
      </w:tabs>
      <w:snapToGrid w:val="0"/>
      <w:spacing w:line="240" w:lineRule="auto"/>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7">
    <w:name w:val="Table Grid"/>
    <w:basedOn w:val="6"/>
    <w:qFormat/>
    <w:uiPriority w:val="39"/>
    <w:pPr>
      <w:spacing w:line="240" w:lineRule="auto"/>
      <w:jc w:val="left"/>
    </w:pPr>
    <w:rPr>
      <w:rFonts w:ascii="等线" w:hAnsi="等线" w:eastAsia="等线"/>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qFormat/>
    <w:uiPriority w:val="99"/>
    <w:rPr>
      <w:color w:val="954F72"/>
      <w:u w:val="single"/>
    </w:rPr>
  </w:style>
  <w:style w:type="character" w:styleId="11">
    <w:name w:val="Hyperlink"/>
    <w:basedOn w:val="8"/>
    <w:qFormat/>
    <w:uiPriority w:val="99"/>
    <w:rPr>
      <w:color w:val="0000FF"/>
      <w:u w:val="single"/>
    </w:rPr>
  </w:style>
  <w:style w:type="character" w:customStyle="1" w:styleId="12">
    <w:name w:val="正文文本缩进 字符"/>
    <w:basedOn w:val="8"/>
    <w:link w:val="3"/>
    <w:qFormat/>
    <w:uiPriority w:val="99"/>
    <w:rPr>
      <w:rFonts w:ascii="Calibri" w:hAnsi="Calibri" w:eastAsia="Times New Roman" w:cs="Times New Roman"/>
      <w:kern w:val="0"/>
      <w:sz w:val="22"/>
      <w:szCs w:val="22"/>
      <w:lang w:eastAsia="en-US"/>
    </w:rPr>
  </w:style>
  <w:style w:type="character" w:customStyle="1" w:styleId="13">
    <w:name w:val="正文文本首行缩进 2 字符"/>
    <w:basedOn w:val="12"/>
    <w:link w:val="2"/>
    <w:qFormat/>
    <w:uiPriority w:val="99"/>
    <w:rPr>
      <w:rFonts w:ascii="Calibri" w:hAnsi="Calibri" w:eastAsia="Times New Roman" w:cs="Times New Roman"/>
      <w:kern w:val="0"/>
      <w:sz w:val="22"/>
      <w:szCs w:val="22"/>
      <w:lang w:eastAsia="en-US"/>
    </w:rPr>
  </w:style>
  <w:style w:type="character" w:customStyle="1" w:styleId="14">
    <w:name w:val="页眉 字符"/>
    <w:basedOn w:val="8"/>
    <w:link w:val="5"/>
    <w:qFormat/>
    <w:uiPriority w:val="99"/>
    <w:rPr>
      <w:rFonts w:ascii="Calibri" w:hAnsi="Calibri" w:eastAsia="Times New Roman" w:cs="Times New Roman"/>
      <w:kern w:val="0"/>
      <w:sz w:val="18"/>
      <w:szCs w:val="18"/>
      <w:lang w:eastAsia="en-US"/>
    </w:rPr>
  </w:style>
  <w:style w:type="character" w:customStyle="1" w:styleId="15">
    <w:name w:val="text_mquay"/>
    <w:basedOn w:val="8"/>
    <w:qFormat/>
    <w:uiPriority w:val="0"/>
  </w:style>
  <w:style w:type="paragraph" w:customStyle="1" w:styleId="16">
    <w:name w:val="rtejustify"/>
    <w:basedOn w:val="1"/>
    <w:qFormat/>
    <w:uiPriority w:val="0"/>
    <w:pPr>
      <w:spacing w:before="100" w:beforeAutospacing="1" w:after="100" w:afterAutospacing="1" w:line="240" w:lineRule="auto"/>
    </w:pPr>
    <w:rPr>
      <w:rFonts w:ascii="宋体" w:hAnsi="宋体" w:eastAsia="宋体" w:cs="宋体"/>
      <w:sz w:val="24"/>
      <w:szCs w:val="24"/>
      <w:lang w:eastAsia="zh-CN"/>
    </w:rPr>
  </w:style>
  <w:style w:type="character" w:customStyle="1" w:styleId="17">
    <w:name w:val="页脚 字符"/>
    <w:basedOn w:val="8"/>
    <w:link w:val="4"/>
    <w:qFormat/>
    <w:uiPriority w:val="99"/>
    <w:rPr>
      <w:rFonts w:ascii="Calibri" w:hAnsi="Calibri" w:eastAsia="Times New Roman" w:cs="Times New Roman"/>
      <w:kern w:val="0"/>
      <w:sz w:val="18"/>
      <w:szCs w:val="18"/>
      <w:lang w:eastAsia="en-US"/>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1959</Words>
  <Characters>2237</Characters>
  <Paragraphs>63</Paragraphs>
  <TotalTime>71</TotalTime>
  <ScaleCrop>false</ScaleCrop>
  <LinksUpToDate>false</LinksUpToDate>
  <CharactersWithSpaces>2243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2024-01-15T01:53:00Z</dcterms:created>
  <dc:creator>Muchao Qu</dc:creator>
  <cp:lastModifiedBy>江波</cp:lastModifiedBy>
  <dcterms:modified xsi:type="dcterms:W3CDTF">2024-09-23T03:15:28Z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2024-01-15T01:52:57Z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a1c4506b-a72a-4d58-b007-47bd2fd962bd</vt:lpwstr>
  </property>
  <property fmtid="{D5CDD505-2E9C-101B-9397-08002B2CF9AE}" pid="8" name="MSIP_Label_d347b247-e90e-43a3-9d7b-004f14ae6873_ContentBits">
    <vt:lpwstr>0</vt:lpwstr>
  </property>
  <property fmtid="{D5CDD505-2E9C-101B-9397-08002B2CF9AE}" pid="9" name="KSOProductBuildVer">
    <vt:lpwstr>2052-12.1.0.18240</vt:lpwstr>
  </property>
  <property fmtid="{D5CDD505-2E9C-101B-9397-08002B2CF9AE}" pid="10" name="ICV">
    <vt:lpwstr>E425ABCF7D1540A0A8CE81AFC7E603E0_13</vt:lpwstr>
  </property>
</Properties>
</file>